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Name _________________________</w:t>
        <w:tab/>
        <w:tab/>
        <w:tab/>
        <w:tab/>
        <w:tab/>
        <w:t xml:space="preserve">Date ____________ _____</w:t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Aggregate Supply and Demand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 Find three synonyms for aggregate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1. 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2. 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3. 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2.  Draw and label the Aggregate Supply and Demand Graph</w:t>
      </w:r>
    </w:p>
    <w:tbl>
      <w:tblPr>
        <w:tblStyle w:val="Table1"/>
        <w:tblW w:w="64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98"/>
        <w:tblGridChange w:id="0">
          <w:tblGrid>
            <w:gridCol w:w="6498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3. Essential Vocabulary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a.  Wealth Effect- 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b.  Income Effect- 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c.  Nominal Wages- 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d.  Sticky Wages- 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4.  Shifting the Curves</w:t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Aggregate Demand (AD)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Short Run Aggregate Supply (SRAS)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5.  Draw and Label the Long- Run Aggregate Supply (LRAS) Curve</w:t>
      </w:r>
    </w:p>
    <w:tbl>
      <w:tblPr>
        <w:tblStyle w:val="Table3"/>
        <w:tblW w:w="47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tblGridChange w:id="0">
          <w:tblGrid>
            <w:gridCol w:w="4788"/>
          </w:tblGrid>
        </w:tblGridChange>
      </w:tblGrid>
      <w:t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6.  Define Potential Output - _____________________________________________________________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7.  Does the LRAS remind you of anything we have already discussed in class?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